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C1" w:rsidRPr="00D800C1" w:rsidRDefault="00681033">
      <w:pPr>
        <w:rPr>
          <w:rFonts w:ascii="Times New Roman" w:hAnsi="Times New Roman" w:cs="Times New Roman"/>
          <w:sz w:val="24"/>
          <w:szCs w:val="24"/>
        </w:rPr>
      </w:pPr>
      <w:r w:rsidRPr="00D800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00C1" w:rsidRPr="00D8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800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00C1" w:rsidRPr="00D800C1">
        <w:rPr>
          <w:rFonts w:ascii="Times New Roman" w:hAnsi="Times New Roman" w:cs="Times New Roman"/>
          <w:sz w:val="24"/>
          <w:szCs w:val="24"/>
        </w:rPr>
        <w:t xml:space="preserve"> Załącznik </w:t>
      </w:r>
    </w:p>
    <w:p w:rsidR="00D800C1" w:rsidRDefault="00D800C1">
      <w:pPr>
        <w:rPr>
          <w:rFonts w:ascii="Times New Roman" w:hAnsi="Times New Roman" w:cs="Times New Roman"/>
          <w:sz w:val="24"/>
          <w:szCs w:val="24"/>
        </w:rPr>
      </w:pPr>
      <w:r w:rsidRPr="00D8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d</w:t>
      </w:r>
      <w:r w:rsidRPr="00D800C1">
        <w:rPr>
          <w:rFonts w:ascii="Times New Roman" w:hAnsi="Times New Roman" w:cs="Times New Roman"/>
          <w:sz w:val="24"/>
          <w:szCs w:val="24"/>
        </w:rPr>
        <w:t>o uchwały nr XXVI/240/09</w:t>
      </w:r>
    </w:p>
    <w:p w:rsidR="00D800C1" w:rsidRPr="00D800C1" w:rsidRDefault="00D80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z dnia 29 grudnia 2009r.</w:t>
      </w:r>
    </w:p>
    <w:p w:rsidR="00D800C1" w:rsidRDefault="00D800C1">
      <w:pPr>
        <w:rPr>
          <w:rFonts w:ascii="Times New Roman" w:hAnsi="Times New Roman" w:cs="Times New Roman"/>
          <w:b/>
          <w:sz w:val="28"/>
          <w:szCs w:val="28"/>
        </w:rPr>
      </w:pPr>
    </w:p>
    <w:p w:rsidR="00A32FDB" w:rsidRDefault="00D80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81033">
        <w:rPr>
          <w:rFonts w:ascii="Times New Roman" w:hAnsi="Times New Roman" w:cs="Times New Roman"/>
          <w:b/>
          <w:sz w:val="28"/>
          <w:szCs w:val="28"/>
        </w:rPr>
        <w:t xml:space="preserve">          Plan pracy Rady na 2010r.</w:t>
      </w:r>
    </w:p>
    <w:p w:rsidR="00681033" w:rsidRDefault="00681033">
      <w:pPr>
        <w:rPr>
          <w:rFonts w:ascii="Times New Roman" w:hAnsi="Times New Roman" w:cs="Times New Roman"/>
          <w:b/>
          <w:sz w:val="28"/>
          <w:szCs w:val="28"/>
        </w:rPr>
      </w:pP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LUTY: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kosztów utrzymania szkół gminnych/ przekształcenie w zespoły szkól/,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GOPS o szkoleniach dla bezrobotnych, sytuacja bezrobocia w Gminie,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 z działalności Komisji za II półrocze 2009r.</w:t>
      </w:r>
    </w:p>
    <w:p w:rsidR="00681033" w:rsidRDefault="00681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KWIECIEŃ: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sprawozdanie z wykonania budżetu Gminy za 2009r.</w:t>
      </w:r>
    </w:p>
    <w:p w:rsidR="00681033" w:rsidRDefault="00681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CZERWIEC: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w sprawie realizacji inwestycji i remontów,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w sprawie realizacji zadań przez sołectwa z Funduszu Soleckiego,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 z działalności Komisji za I półrocze 2010r.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działalność Gminnej Biblioteki Publicznej,</w:t>
      </w:r>
    </w:p>
    <w:p w:rsidR="00681033" w:rsidRDefault="00681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WRZESIEŃ: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sprawozdanie z wykonania budżetu Gminy za I półrocze 2010r.</w:t>
      </w:r>
    </w:p>
    <w:p w:rsid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kosztów utrzymania i eksploatacji wodociągów,</w:t>
      </w:r>
    </w:p>
    <w:p w:rsidR="00681033" w:rsidRDefault="00681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 :</w:t>
      </w:r>
    </w:p>
    <w:p w:rsidR="00681033" w:rsidRPr="00681033" w:rsidRDefault="0068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podsumowanie kadencji: realizacja Programu Gospodarczego, środki unijne pozyskane w toku kadencji.</w:t>
      </w:r>
    </w:p>
    <w:sectPr w:rsidR="00681033" w:rsidRPr="00681033" w:rsidSect="00A3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1033"/>
    <w:rsid w:val="00106CC8"/>
    <w:rsid w:val="004138A9"/>
    <w:rsid w:val="00647FAD"/>
    <w:rsid w:val="00681033"/>
    <w:rsid w:val="00A32FDB"/>
    <w:rsid w:val="00D8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2009-12-30T08:59:00Z</cp:lastPrinted>
  <dcterms:created xsi:type="dcterms:W3CDTF">2009-12-30T09:01:00Z</dcterms:created>
  <dcterms:modified xsi:type="dcterms:W3CDTF">2009-12-30T09:01:00Z</dcterms:modified>
</cp:coreProperties>
</file>